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ПРИЛОЖЕНИЕ № &lt;N&gt; К ДОГОВОРУ № &lt;…&gt; ОТ &lt;ДД.ММ.ГГГГ&gt;</w:t>
      </w:r>
    </w:p>
    <w:p>
      <w:pPr>
        <w:jc w:val="center"/>
      </w:pPr>
      <w:r>
        <w:rPr>
          <w:b/>
          <w:sz w:val="24"/>
        </w:rPr>
        <w:t>СОГЛАШЕНИЕ ОБ УРОВНЕ УСЛУГ (SLA)</w:t>
      </w:r>
    </w:p>
    <w:p>
      <w:r>
        <w:rPr>
          <w:b/>
        </w:rPr>
        <w:t>1. Предмет</w:t>
      </w:r>
    </w:p>
    <w:p>
      <w:r>
        <w:t>1.1. Соглашение устанавливает параметры качества услуг технической поддержки, оказываемых Исполнителем Заказчику в отношении &lt;наименование системы, перечень сервисов&gt;.</w:t>
      </w:r>
    </w:p>
    <w:p>
      <w:r>
        <w:t>1.2. Термины, не определённые в Соглашении, применяются в значении, установленном Договором.</w:t>
      </w:r>
    </w:p>
    <w:p>
      <w:r>
        <w:rPr>
          <w:b/>
        </w:rPr>
        <w:t>2. Услуги, охваченные Соглашением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Услуга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Охвачена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Не охвачена</w:t>
            </w:r>
          </w:p>
        </w:tc>
      </w:tr>
      <w:tr>
        <w:tc>
          <w:tcPr>
            <w:tcW w:type="dxa" w:w="3324"/>
          </w:tcPr>
          <w:p>
            <w:r/>
            <w:r>
              <w:t>Восстановление работоспособности &lt;системы&gt;</w:t>
            </w:r>
          </w:p>
        </w:tc>
        <w:tc>
          <w:tcPr>
            <w:tcW w:type="dxa" w:w="3324"/>
          </w:tcPr>
          <w:p>
            <w:r/>
            <w:r>
              <w:t>Да</w:t>
            </w:r>
          </w:p>
        </w:tc>
        <w:tc>
          <w:tcPr>
            <w:tcW w:type="dxa" w:w="3324"/>
          </w:tcPr>
          <w:p>
            <w:r/>
            <w:r>
              <w:t>—</w:t>
            </w:r>
          </w:p>
        </w:tc>
      </w:tr>
      <w:tr>
        <w:tc>
          <w:tcPr>
            <w:tcW w:type="dxa" w:w="3324"/>
          </w:tcPr>
          <w:p>
            <w:r/>
            <w:r>
              <w:t>Консультирование пользователей по &lt;перечень&gt;</w:t>
            </w:r>
          </w:p>
        </w:tc>
        <w:tc>
          <w:tcPr>
            <w:tcW w:type="dxa" w:w="3324"/>
          </w:tcPr>
          <w:p>
            <w:r/>
            <w:r>
              <w:t>Да</w:t>
            </w:r>
          </w:p>
        </w:tc>
        <w:tc>
          <w:tcPr>
            <w:tcW w:type="dxa" w:w="3324"/>
          </w:tcPr>
          <w:p>
            <w:r/>
            <w:r>
              <w:t>—</w:t>
            </w:r>
          </w:p>
        </w:tc>
      </w:tr>
      <w:tr>
        <w:tc>
          <w:tcPr>
            <w:tcW w:type="dxa" w:w="3324"/>
          </w:tcPr>
          <w:p>
            <w:r/>
            <w:r>
              <w:t>Доработка функциональности по запросу</w:t>
            </w:r>
          </w:p>
        </w:tc>
        <w:tc>
          <w:tcPr>
            <w:tcW w:type="dxa" w:w="3324"/>
          </w:tcPr>
          <w:p>
            <w:r/>
            <w:r>
              <w:t>Нет</w:t>
            </w:r>
          </w:p>
        </w:tc>
        <w:tc>
          <w:tcPr>
            <w:tcW w:type="dxa" w:w="3324"/>
          </w:tcPr>
          <w:p>
            <w:r/>
            <w:r>
              <w:t>Оформляется отдельной заявкой на развитие</w:t>
            </w:r>
          </w:p>
        </w:tc>
      </w:tr>
      <w:tr>
        <w:tc>
          <w:tcPr>
            <w:tcW w:type="dxa" w:w="3324"/>
          </w:tcPr>
          <w:p>
            <w:r/>
            <w:r>
              <w:t>Обучение пользователей</w:t>
            </w:r>
          </w:p>
        </w:tc>
        <w:tc>
          <w:tcPr>
            <w:tcW w:type="dxa" w:w="3324"/>
          </w:tcPr>
          <w:p>
            <w:r/>
            <w:r>
              <w:t>Нет</w:t>
            </w:r>
          </w:p>
        </w:tc>
        <w:tc>
          <w:tcPr>
            <w:tcW w:type="dxa" w:w="3324"/>
          </w:tcPr>
          <w:p>
            <w:r/>
            <w:r>
              <w:t>По отдельному заказу</w:t>
            </w:r>
          </w:p>
        </w:tc>
      </w:tr>
      <w:tr>
        <w:tc>
          <w:tcPr>
            <w:tcW w:type="dxa" w:w="3324"/>
          </w:tcPr>
          <w:p>
            <w:r/>
            <w:r>
              <w:t>Оборудование и каналы связи Заказчика</w:t>
            </w:r>
          </w:p>
        </w:tc>
        <w:tc>
          <w:tcPr>
            <w:tcW w:type="dxa" w:w="3324"/>
          </w:tcPr>
          <w:p>
            <w:r/>
            <w:r>
              <w:t>Нет</w:t>
            </w:r>
          </w:p>
        </w:tc>
        <w:tc>
          <w:tcPr>
            <w:tcW w:type="dxa" w:w="3324"/>
          </w:tcPr>
          <w:p>
            <w:r/>
            <w:r>
              <w:t>Зона ответственности Заказчика</w:t>
            </w:r>
          </w:p>
        </w:tc>
      </w:tr>
    </w:tbl>
    <w:p/>
    <w:p>
      <w:r>
        <w:rPr>
          <w:b/>
        </w:rPr>
        <w:t>3. Каналы и режим обслуживания</w:t>
      </w:r>
    </w:p>
    <w:p>
      <w:r>
        <w:t>3.1. Каналы приёма обращений: &lt;портал …, почта …, телефон …&gt;. Обращение считается принятым с момента присвоения номера в системе учёта Исполнителя.</w:t>
      </w:r>
    </w:p>
    <w:p>
      <w:r>
        <w:t>3.2. Часы обслуживания: &lt;09:00–18:00 по &lt;часовой пояс&gt;, рабочие дни по производственному календарю &lt;страна&gt;&gt;.</w:t>
      </w:r>
    </w:p>
    <w:p>
      <w:r>
        <w:t>3.3. Обращения, поступившие вне часов обслуживания, принимаются системой и считаются принятыми в &lt;09:00&gt; ближайшего рабочего дня, за исключением класса «Критический», если стороны согласовали режим &lt;24x7&gt;.</w:t>
      </w:r>
    </w:p>
    <w:p>
      <w:r>
        <w:rPr>
          <w:b/>
        </w:rPr>
        <w:t>4. Классы обращений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Класс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Определение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  <w:r>
              <w:rPr>
                <w:b/>
              </w:rPr>
              <w:t>Пример</w:t>
            </w:r>
          </w:p>
        </w:tc>
      </w:tr>
      <w:tr>
        <w:tc>
          <w:tcPr>
            <w:tcW w:type="dxa" w:w="3324"/>
          </w:tcPr>
          <w:p>
            <w:r/>
            <w:r>
              <w:t>Критический</w:t>
            </w:r>
          </w:p>
        </w:tc>
        <w:tc>
          <w:tcPr>
            <w:tcW w:type="dxa" w:w="3324"/>
          </w:tcPr>
          <w:p>
            <w:r/>
            <w:r>
              <w:t>Полная недоступность &lt;системы&gt; либо невозможность выполнить ключевую бизнес-операцию, обходного решения нет</w:t>
            </w:r>
          </w:p>
        </w:tc>
        <w:tc>
          <w:tcPr>
            <w:tcW w:type="dxa" w:w="3324"/>
          </w:tcPr>
          <w:p>
            <w:r/>
            <w:r>
              <w:t>&lt;система не открывается ни у одного пользователя&gt;</w:t>
            </w:r>
          </w:p>
        </w:tc>
      </w:tr>
      <w:tr>
        <w:tc>
          <w:tcPr>
            <w:tcW w:type="dxa" w:w="3324"/>
          </w:tcPr>
          <w:p>
            <w:r/>
            <w:r>
              <w:t>Высокий</w:t>
            </w:r>
          </w:p>
        </w:tc>
        <w:tc>
          <w:tcPr>
            <w:tcW w:type="dxa" w:w="3324"/>
          </w:tcPr>
          <w:p>
            <w:r/>
            <w:r>
              <w:t>Ключевая функция недоступна или работает с ошибками, обходное решение существует, но трудозатратно</w:t>
            </w:r>
          </w:p>
        </w:tc>
        <w:tc>
          <w:tcPr>
            <w:tcW w:type="dxa" w:w="3324"/>
          </w:tcPr>
          <w:p>
            <w:r/>
            <w:r>
              <w:t>&lt;не формируется отчёт, требуемый ежедневно&gt;</w:t>
            </w:r>
          </w:p>
        </w:tc>
      </w:tr>
      <w:tr>
        <w:tc>
          <w:tcPr>
            <w:tcW w:type="dxa" w:w="3324"/>
          </w:tcPr>
          <w:p>
            <w:r/>
            <w:r>
              <w:t>Обычный</w:t>
            </w:r>
          </w:p>
        </w:tc>
        <w:tc>
          <w:tcPr>
            <w:tcW w:type="dxa" w:w="3324"/>
          </w:tcPr>
          <w:p>
            <w:r/>
            <w:r>
              <w:t>Частная ошибка или вопрос, работа Заказчика продолжается</w:t>
            </w:r>
          </w:p>
        </w:tc>
        <w:tc>
          <w:tcPr>
            <w:tcW w:type="dxa" w:w="3324"/>
          </w:tcPr>
          <w:p>
            <w:r/>
            <w:r>
              <w:t>&lt;неверно отображается поле в карточке&gt;</w:t>
            </w:r>
          </w:p>
        </w:tc>
      </w:tr>
    </w:tbl>
    <w:p/>
    <w:p>
      <w:r>
        <w:t>4.1. Класс присваивает Исполнитель на основании определения из таблицы. Заказчик вправе оспорить класс, направив обоснование; при разногласии применяется класс, согласованный &lt;должность со стороны Заказчика&gt; и &lt;должность со стороны Исполнителя&gt;.</w:t>
      </w:r>
    </w:p>
    <w:p>
      <w:r>
        <w:rPr>
          <w:b/>
        </w:rPr>
        <w:t>5. Целевые показатели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Класс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Время реакции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Время восстановления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  <w:r>
              <w:rPr>
                <w:b/>
              </w:rPr>
              <w:t>Доля обращений в срок</w:t>
            </w:r>
          </w:p>
        </w:tc>
      </w:tr>
      <w:tr>
        <w:tc>
          <w:tcPr>
            <w:tcW w:type="dxa" w:w="2493"/>
          </w:tcPr>
          <w:p>
            <w:r/>
            <w:r>
              <w:t>Критический</w:t>
            </w:r>
          </w:p>
        </w:tc>
        <w:tc>
          <w:tcPr>
            <w:tcW w:type="dxa" w:w="2493"/>
          </w:tcPr>
          <w:p>
            <w:r/>
            <w:r>
              <w:t>&lt;30 минут&gt;</w:t>
            </w:r>
          </w:p>
        </w:tc>
        <w:tc>
          <w:tcPr>
            <w:tcW w:type="dxa" w:w="2493"/>
          </w:tcPr>
          <w:p>
            <w:r/>
            <w:r>
              <w:t>&lt;4 часа&gt;</w:t>
            </w:r>
          </w:p>
        </w:tc>
        <w:tc>
          <w:tcPr>
            <w:tcW w:type="dxa" w:w="2493"/>
          </w:tcPr>
          <w:p>
            <w:r/>
            <w:r>
              <w:t>&lt;95 %&gt;</w:t>
            </w:r>
          </w:p>
        </w:tc>
      </w:tr>
      <w:tr>
        <w:tc>
          <w:tcPr>
            <w:tcW w:type="dxa" w:w="2493"/>
          </w:tcPr>
          <w:p>
            <w:r/>
            <w:r>
              <w:t>Высокий</w:t>
            </w:r>
          </w:p>
        </w:tc>
        <w:tc>
          <w:tcPr>
            <w:tcW w:type="dxa" w:w="2493"/>
          </w:tcPr>
          <w:p>
            <w:r/>
            <w:r>
              <w:t>&lt;2 часа&gt;</w:t>
            </w:r>
          </w:p>
        </w:tc>
        <w:tc>
          <w:tcPr>
            <w:tcW w:type="dxa" w:w="2493"/>
          </w:tcPr>
          <w:p>
            <w:r/>
            <w:r>
              <w:t>&lt;8 часов&gt;</w:t>
            </w:r>
          </w:p>
        </w:tc>
        <w:tc>
          <w:tcPr>
            <w:tcW w:type="dxa" w:w="2493"/>
          </w:tcPr>
          <w:p>
            <w:r/>
            <w:r>
              <w:t>&lt;90 %&gt;</w:t>
            </w:r>
          </w:p>
        </w:tc>
      </w:tr>
      <w:tr>
        <w:tc>
          <w:tcPr>
            <w:tcW w:type="dxa" w:w="2493"/>
          </w:tcPr>
          <w:p>
            <w:r/>
            <w:r>
              <w:t>Обычный</w:t>
            </w:r>
          </w:p>
        </w:tc>
        <w:tc>
          <w:tcPr>
            <w:tcW w:type="dxa" w:w="2493"/>
          </w:tcPr>
          <w:p>
            <w:r/>
            <w:r>
              <w:t>&lt;8 часов&gt;</w:t>
            </w:r>
          </w:p>
        </w:tc>
        <w:tc>
          <w:tcPr>
            <w:tcW w:type="dxa" w:w="2493"/>
          </w:tcPr>
          <w:p>
            <w:r/>
            <w:r>
              <w:t>&lt;3 рабочих дня&gt;</w:t>
            </w:r>
          </w:p>
        </w:tc>
        <w:tc>
          <w:tcPr>
            <w:tcW w:type="dxa" w:w="2493"/>
          </w:tcPr>
          <w:p>
            <w:r/>
            <w:r>
              <w:t>&lt;90 %&gt;</w:t>
            </w:r>
          </w:p>
        </w:tc>
      </w:tr>
    </w:tbl>
    <w:p/>
    <w:p>
      <w:r>
        <w:t>5.1. Время реакции — интервал от присвоения номера до первого содержательного ответа Исполнителя. Автоматическое подтверждение приёма ответом не является.</w:t>
      </w:r>
    </w:p>
    <w:p>
      <w:r>
        <w:t>5.2. Время восстановления — интервал от присвоения номера до восстановления работоспособности либо предоставления обходного решения, согласованного с Заказчиком.</w:t>
      </w:r>
    </w:p>
    <w:p>
      <w:r>
        <w:t>5.3. Оба интервала исчисляются в часах обслуживания (п. 3.2) и не включают периоды ожидания по п. 6.</w:t>
      </w:r>
    </w:p>
    <w:p>
      <w:r>
        <w:rPr>
          <w:b/>
        </w:rPr>
        <w:t>6. Периоды, исключаемые из расчёта</w:t>
      </w:r>
    </w:p>
    <w:p>
      <w:r>
        <w:t>6.1. Ожидание информации, доступа или решения от Заказчика — с момента направления запроса до получения ответа.</w:t>
      </w:r>
    </w:p>
    <w:p>
      <w:r>
        <w:t>6.2. Согласованные с Заказчиком плановые работы.</w:t>
      </w:r>
    </w:p>
    <w:p>
      <w:r>
        <w:t>6.3. Недоступность сервисов третьих лиц (&lt;перечислить: провайдер связи, платёжный шлюз, поставщик оборудования&gt;), при условии уведомления Заказчика.</w:t>
      </w:r>
    </w:p>
    <w:p>
      <w:r>
        <w:t>6.4. Обстоятельства непреодолимой силы по Договору.</w:t>
      </w:r>
    </w:p>
    <w:p>
      <w:r>
        <w:t>6.5. Каждый исключаемый период фиксируется в карточке обращения с указанием причины и доступен Заказчику для просмотра.</w:t>
      </w:r>
    </w:p>
    <w:p>
      <w:r>
        <w:rPr>
          <w:b/>
        </w:rPr>
        <w:t>7. Доступность сервиса</w:t>
      </w:r>
    </w:p>
    <w:p>
      <w:r>
        <w:t>7.1. Целевая доступность &lt;системы&gt;: &lt;99,5 %&gt; в календарный месяц.</w:t>
      </w:r>
    </w:p>
    <w:p>
      <w:r>
        <w:t>7.2. Расчёт: Доступность = (Общее время месяца − Время недоступности) / Общее время месяца × 100 %.</w:t>
      </w:r>
    </w:p>
    <w:p>
      <w:r>
        <w:t>7.3. Из времени недоступности исключаются плановые работы, проведённые с уведомлением не позднее чем за &lt;3 рабочих дня&gt; и в окне &lt;с 22:00 до 06:00&gt;, общей длительностью не более &lt;4 часов&gt; в месяц.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Доступность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Максимум недоступности в месяц (30 дней)</w:t>
            </w:r>
          </w:p>
        </w:tc>
      </w:tr>
      <w:tr>
        <w:tc>
          <w:tcPr>
            <w:tcW w:type="dxa" w:w="4986"/>
          </w:tcPr>
          <w:p>
            <w:r/>
            <w:r>
              <w:t>99,9 %</w:t>
            </w:r>
          </w:p>
        </w:tc>
        <w:tc>
          <w:tcPr>
            <w:tcW w:type="dxa" w:w="4986"/>
          </w:tcPr>
          <w:p>
            <w:r/>
            <w:r>
              <w:t>43 минуты</w:t>
            </w:r>
          </w:p>
        </w:tc>
      </w:tr>
      <w:tr>
        <w:tc>
          <w:tcPr>
            <w:tcW w:type="dxa" w:w="4986"/>
          </w:tcPr>
          <w:p>
            <w:r/>
            <w:r>
              <w:t>99,5 %</w:t>
            </w:r>
          </w:p>
        </w:tc>
        <w:tc>
          <w:tcPr>
            <w:tcW w:type="dxa" w:w="4986"/>
          </w:tcPr>
          <w:p>
            <w:r/>
            <w:r>
              <w:t>3 часа 39 минут</w:t>
            </w:r>
          </w:p>
        </w:tc>
      </w:tr>
      <w:tr>
        <w:tc>
          <w:tcPr>
            <w:tcW w:type="dxa" w:w="4986"/>
          </w:tcPr>
          <w:p>
            <w:r/>
            <w:r>
              <w:t>99,0 %</w:t>
            </w:r>
          </w:p>
        </w:tc>
        <w:tc>
          <w:tcPr>
            <w:tcW w:type="dxa" w:w="4986"/>
          </w:tcPr>
          <w:p>
            <w:r/>
            <w:r>
              <w:t>7 часов 18 минут</w:t>
            </w:r>
          </w:p>
        </w:tc>
      </w:tr>
      <w:tr>
        <w:tc>
          <w:tcPr>
            <w:tcW w:type="dxa" w:w="4986"/>
          </w:tcPr>
          <w:p>
            <w:r/>
            <w:r>
              <w:t>98,0 %</w:t>
            </w:r>
          </w:p>
        </w:tc>
        <w:tc>
          <w:tcPr>
            <w:tcW w:type="dxa" w:w="4986"/>
          </w:tcPr>
          <w:p>
            <w:r/>
            <w:r>
              <w:t>14 часов 36 минут</w:t>
            </w:r>
          </w:p>
        </w:tc>
      </w:tr>
    </w:tbl>
    <w:p/>
    <w:p>
      <w:r>
        <w:rPr>
          <w:b/>
        </w:rPr>
        <w:t>8. Отчётность</w:t>
      </w:r>
    </w:p>
    <w:p>
      <w:r>
        <w:t>8.1. Исполнитель до &lt;5-го&gt; числа месяца, следующего за отчётным, представляет отчёт: число обращений по классам, доля обращений, обработанных в срок, перечень нарушений с причинами, фактическая доступность.</w:t>
      </w:r>
    </w:p>
    <w:p>
      <w:r>
        <w:t>8.2. Заказчик вправе запросить выгрузку обращений с датами регистрации, первого ответа и закрытия за любой период в пределах срока действия Договора.</w:t>
      </w:r>
    </w:p>
    <w:p>
      <w:r>
        <w:rPr>
          <w:b/>
        </w:rPr>
        <w:t>9. Последствия недостижения показателей</w:t>
      </w:r>
    </w:p>
    <w:p>
      <w:r>
        <w:t>9.1. При снижении доли обращений в срок ниже целевой по итогам месяца Исполнитель предоставляет письменные объяснения и план устранения в течение &lt;10 рабочих дней&gt;.</w:t>
      </w:r>
    </w:p>
    <w:p>
      <w:r>
        <w:t>9.2. &lt;Вариант со скидкой:&gt; При доле обращений в срок ниже &lt;90 %&gt; Заказчику предоставляется скидка &lt;5 %&gt; от абонентской платы за отчётный месяц; ниже &lt;80 %&gt; — &lt;10 %&gt;. Совокупный размер скидок за месяц не превышает &lt;15 %&gt; абонентской платы.</w:t>
      </w:r>
    </w:p>
    <w:p>
      <w:r>
        <w:t>9.3. Скидка предоставляется по заявлению Заказчика, направленному не позднее &lt;30&gt; календарных дней после получения отчёта.</w:t>
      </w:r>
    </w:p>
    <w:p>
      <w:r>
        <w:rPr>
          <w:b/>
        </w:rPr>
        <w:t>10. Срок и пересмотр</w:t>
      </w:r>
    </w:p>
    <w:p>
      <w:r>
        <w:t>10.1. Соглашение действует с &lt;ДД.ММ.ГГГГ&gt; и пересматривается не реже одного раза в &lt;12&gt; месяцев либо при изменении состава услуг.</w:t>
      </w:r>
    </w:p>
    <w:p>
      <w:r>
        <w:t>10.2. Изменения оформляются дополнительным соглашением.</w:t>
      </w:r>
    </w:p>
    <w:p>
      <w:r>
        <w:t>Подписи сторон: &lt;реквизиты и подписи&gt;</w:t>
      </w:r>
    </w:p>
    <w:p/>
    <w:p>
      <w:r>
        <w:t>Значения в угловых скобках &lt; &gt; заполните под свой договор. Как выбрать сроки и доступность — support.tehprof.kz/help/guides/template-sla-agreement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уровне услуг (SLA)</dc:title>
  <dc:subject/>
  <dc:creator>TehProf Support</dc:creator>
  <cp:keywords/>
  <dc:description/>
  <cp:lastModifiedBy>TehProf Support</cp:lastModifiedBy>
  <cp:revision>1</cp:revision>
  <dcterms:created xsi:type="dcterms:W3CDTF">2026-09-24T00:00:00Z</dcterms:created>
  <dcterms:modified xsi:type="dcterms:W3CDTF">2026-09-24T00:00:00Z</dcterms:modified>
  <cp:category/>
</cp:coreProperties>
</file>